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8629" w14:textId="77777777" w:rsidR="0021256C" w:rsidRDefault="00B73E15">
      <w:pPr>
        <w:spacing w:after="127" w:line="259" w:lineRule="auto"/>
        <w:ind w:left="364" w:right="3"/>
        <w:jc w:val="center"/>
      </w:pPr>
      <w:r>
        <w:rPr>
          <w:b/>
          <w:sz w:val="26"/>
          <w:u w:val="single" w:color="000000"/>
        </w:rPr>
        <w:t xml:space="preserve">Portfolio 2 </w:t>
      </w:r>
      <w:r>
        <w:rPr>
          <w:b/>
          <w:sz w:val="26"/>
          <w:u w:val="single" w:color="000000"/>
        </w:rPr>
        <w:t>Questions</w:t>
      </w:r>
      <w:r>
        <w:rPr>
          <w:b/>
          <w:sz w:val="26"/>
        </w:rPr>
        <w:t xml:space="preserve">  </w:t>
      </w:r>
    </w:p>
    <w:p w14:paraId="2864AC2F" w14:textId="4A82CDA1" w:rsidR="0021256C" w:rsidRDefault="002C1AA5">
      <w:pPr>
        <w:pStyle w:val="Heading1"/>
        <w:ind w:left="-5"/>
      </w:pPr>
      <w:r>
        <w:t xml:space="preserve">PART </w:t>
      </w:r>
      <w:proofErr w:type="gramStart"/>
      <w:r>
        <w:t>1 :</w:t>
      </w:r>
      <w:proofErr w:type="gramEnd"/>
      <w:r>
        <w:t xml:space="preserve"> </w:t>
      </w:r>
      <w:r w:rsidR="00B73E15">
        <w:t>Q</w:t>
      </w:r>
      <w:r w:rsidR="00B73E15">
        <w:t>uestions from your text book (eBook chapters 3, 4 &amp; 5)</w:t>
      </w:r>
      <w:r w:rsidR="00B73E15">
        <w:rPr>
          <w:u w:val="none"/>
        </w:rPr>
        <w:t xml:space="preserve"> </w:t>
      </w:r>
    </w:p>
    <w:p w14:paraId="392E5586" w14:textId="77777777" w:rsidR="0021256C" w:rsidRDefault="00B73E15">
      <w:pPr>
        <w:spacing w:after="0" w:line="259" w:lineRule="auto"/>
        <w:ind w:left="0" w:firstLine="0"/>
        <w:jc w:val="left"/>
      </w:pPr>
      <w:r>
        <w:rPr>
          <w:color w:val="FF0000"/>
        </w:rPr>
        <w:t xml:space="preserve"> </w:t>
      </w:r>
    </w:p>
    <w:p w14:paraId="4193D656" w14:textId="2F76919B" w:rsidR="0021256C" w:rsidRDefault="00B73E15">
      <w:pPr>
        <w:spacing w:after="0" w:line="259" w:lineRule="auto"/>
        <w:ind w:left="-5"/>
        <w:jc w:val="left"/>
      </w:pPr>
      <w:proofErr w:type="spellStart"/>
      <w:r>
        <w:rPr>
          <w:b/>
        </w:rPr>
        <w:t xml:space="preserve">Chapter </w:t>
      </w:r>
      <w:proofErr w:type="spellEnd"/>
      <w:r>
        <w:rPr>
          <w:b/>
        </w:rPr>
        <w:t>3, 4 &amp; 5</w:t>
      </w:r>
      <w:r>
        <w:rPr>
          <w:b/>
        </w:rPr>
        <w:t>:</w:t>
      </w:r>
      <w:r>
        <w:rPr>
          <w:b/>
        </w:rPr>
        <w:t xml:space="preserve"> </w:t>
      </w:r>
      <w:proofErr w:type="gramStart"/>
      <w:r w:rsidR="0041722E">
        <w:rPr>
          <w:b/>
        </w:rPr>
        <w:t xml:space="preserve">( </w:t>
      </w:r>
      <w:bookmarkStart w:id="0" w:name="_GoBack"/>
      <w:bookmarkEnd w:id="0"/>
      <w:r w:rsidR="0041722E">
        <w:rPr>
          <w:b/>
        </w:rPr>
        <w:t>Answer</w:t>
      </w:r>
      <w:proofErr w:type="gramEnd"/>
      <w:r w:rsidR="0041722E">
        <w:rPr>
          <w:b/>
        </w:rPr>
        <w:t xml:space="preserve"> using lecture slides and eBook)</w:t>
      </w:r>
    </w:p>
    <w:p w14:paraId="5F928738" w14:textId="77777777" w:rsidR="0021256C" w:rsidRDefault="00B73E15">
      <w:pPr>
        <w:spacing w:after="0" w:line="259" w:lineRule="auto"/>
        <w:ind w:left="0" w:firstLine="0"/>
        <w:jc w:val="left"/>
      </w:pPr>
      <w:r>
        <w:t xml:space="preserve"> </w:t>
      </w:r>
    </w:p>
    <w:p w14:paraId="135A515A" w14:textId="77777777" w:rsidR="0021256C" w:rsidRDefault="00B73E15">
      <w:pPr>
        <w:ind w:left="-5"/>
      </w:pPr>
      <w:r>
        <w:t xml:space="preserve">Q1: Identify a major ethical dilemma in each of the last five decades. </w:t>
      </w:r>
    </w:p>
    <w:p w14:paraId="0AEFB3A7" w14:textId="77777777" w:rsidR="0021256C" w:rsidRDefault="00B73E15">
      <w:pPr>
        <w:ind w:left="-5"/>
      </w:pPr>
      <w:r>
        <w:t xml:space="preserve">Q2: Identify a key development in business ethics in each of the last five decades. </w:t>
      </w:r>
    </w:p>
    <w:p w14:paraId="28CBCBDC" w14:textId="77777777" w:rsidR="0021256C" w:rsidRDefault="00B73E15">
      <w:pPr>
        <w:spacing w:after="0" w:line="259" w:lineRule="auto"/>
        <w:ind w:left="0" w:firstLine="0"/>
        <w:jc w:val="left"/>
      </w:pPr>
      <w:r>
        <w:t xml:space="preserve"> </w:t>
      </w:r>
    </w:p>
    <w:p w14:paraId="2D58879F" w14:textId="77777777" w:rsidR="0021256C" w:rsidRDefault="00B73E15">
      <w:pPr>
        <w:spacing w:after="2" w:line="240" w:lineRule="auto"/>
        <w:ind w:left="715" w:right="-13"/>
      </w:pPr>
      <w:r>
        <w:rPr>
          <w:i/>
          <w:color w:val="001F5F"/>
        </w:rPr>
        <w:t xml:space="preserve">Reflection tip: Which decade did you connect with the most and why? How does the ethical dilemma of that decade impact you in the present? </w:t>
      </w:r>
    </w:p>
    <w:p w14:paraId="3857AA4A" w14:textId="77777777" w:rsidR="0021256C" w:rsidRDefault="00B73E15">
      <w:pPr>
        <w:spacing w:after="0" w:line="259" w:lineRule="auto"/>
        <w:ind w:left="0" w:firstLine="0"/>
        <w:jc w:val="left"/>
      </w:pPr>
      <w:r>
        <w:t xml:space="preserve"> </w:t>
      </w:r>
    </w:p>
    <w:p w14:paraId="162CB652" w14:textId="2AB0420F" w:rsidR="0021256C" w:rsidRDefault="002C1AA5">
      <w:pPr>
        <w:pStyle w:val="Heading1"/>
        <w:ind w:left="-5"/>
      </w:pPr>
      <w:r>
        <w:t xml:space="preserve">PART </w:t>
      </w:r>
      <w:proofErr w:type="gramStart"/>
      <w:r>
        <w:t>2 :</w:t>
      </w:r>
      <w:proofErr w:type="gramEnd"/>
      <w:r>
        <w:t xml:space="preserve"> </w:t>
      </w:r>
      <w:r w:rsidR="00B73E15">
        <w:t>Lecture Pods/Videos</w:t>
      </w:r>
      <w:r w:rsidR="00B73E15">
        <w:rPr>
          <w:u w:val="none"/>
        </w:rPr>
        <w:t xml:space="preserve"> </w:t>
      </w:r>
    </w:p>
    <w:p w14:paraId="4C5B2EAC" w14:textId="77777777" w:rsidR="0021256C" w:rsidRDefault="00B73E15">
      <w:pPr>
        <w:spacing w:after="0" w:line="259" w:lineRule="auto"/>
        <w:ind w:left="0" w:firstLine="0"/>
        <w:jc w:val="left"/>
      </w:pPr>
      <w:r>
        <w:t xml:space="preserve"> </w:t>
      </w:r>
    </w:p>
    <w:p w14:paraId="611A4FE1" w14:textId="77777777" w:rsidR="0021256C" w:rsidRDefault="00B73E15">
      <w:pPr>
        <w:ind w:left="551" w:hanging="566"/>
      </w:pPr>
      <w:r>
        <w:t xml:space="preserve">Q1: </w:t>
      </w:r>
      <w:r>
        <w:t xml:space="preserve">View the </w:t>
      </w:r>
      <w:r>
        <w:rPr>
          <w:b/>
        </w:rPr>
        <w:t>video lecture pods (Purpose of Professional Bodies)</w:t>
      </w:r>
      <w:r>
        <w:t xml:space="preserve"> and make a note of the main points you learned about professional bodies. After viewing the first lecture pod, visit the site of a Professional Body you might be interested in joining as a gradua</w:t>
      </w:r>
      <w:r>
        <w:t xml:space="preserve">te, and find the answers to the following questions: </w:t>
      </w:r>
    </w:p>
    <w:p w14:paraId="49774AF2" w14:textId="77777777" w:rsidR="0021256C" w:rsidRDefault="00B73E15">
      <w:pPr>
        <w:numPr>
          <w:ilvl w:val="0"/>
          <w:numId w:val="2"/>
        </w:numPr>
        <w:ind w:firstLine="732"/>
      </w:pPr>
      <w:r>
        <w:t xml:space="preserve">How do I become a member? </w:t>
      </w:r>
    </w:p>
    <w:p w14:paraId="00830873" w14:textId="77777777" w:rsidR="0021256C" w:rsidRDefault="00B73E15">
      <w:pPr>
        <w:numPr>
          <w:ilvl w:val="0"/>
          <w:numId w:val="2"/>
        </w:numPr>
        <w:ind w:firstLine="732"/>
      </w:pPr>
      <w:r>
        <w:t xml:space="preserve">What must I do to maintain membership? </w:t>
      </w:r>
    </w:p>
    <w:p w14:paraId="3DE7D1C9" w14:textId="77777777" w:rsidR="0021256C" w:rsidRDefault="00B73E15">
      <w:pPr>
        <w:numPr>
          <w:ilvl w:val="0"/>
          <w:numId w:val="2"/>
        </w:numPr>
        <w:ind w:firstLine="732"/>
      </w:pPr>
      <w:r>
        <w:t xml:space="preserve">Do they have a code of conduct and what is required? </w:t>
      </w:r>
    </w:p>
    <w:p w14:paraId="0167D3BB" w14:textId="77777777" w:rsidR="0021256C" w:rsidRDefault="00B73E15">
      <w:pPr>
        <w:numPr>
          <w:ilvl w:val="0"/>
          <w:numId w:val="2"/>
        </w:numPr>
        <w:ind w:firstLine="732"/>
      </w:pPr>
      <w:r>
        <w:t xml:space="preserve">Do they have a code of ethics? </w:t>
      </w:r>
    </w:p>
    <w:tbl>
      <w:tblPr>
        <w:tblStyle w:val="TableGrid"/>
        <w:tblpPr w:vertAnchor="text" w:tblpY="276"/>
        <w:tblOverlap w:val="never"/>
        <w:tblW w:w="10533" w:type="dxa"/>
        <w:tblInd w:w="0" w:type="dxa"/>
        <w:tblCellMar>
          <w:top w:w="0" w:type="dxa"/>
          <w:left w:w="0" w:type="dxa"/>
          <w:bottom w:w="0" w:type="dxa"/>
          <w:right w:w="0" w:type="dxa"/>
        </w:tblCellMar>
        <w:tblLook w:val="04A0" w:firstRow="1" w:lastRow="0" w:firstColumn="1" w:lastColumn="0" w:noHBand="0" w:noVBand="1"/>
      </w:tblPr>
      <w:tblGrid>
        <w:gridCol w:w="708"/>
        <w:gridCol w:w="9825"/>
      </w:tblGrid>
      <w:tr w:rsidR="0021256C" w14:paraId="136C0F2F" w14:textId="77777777">
        <w:trPr>
          <w:trHeight w:val="1130"/>
        </w:trPr>
        <w:tc>
          <w:tcPr>
            <w:tcW w:w="708" w:type="dxa"/>
            <w:tcBorders>
              <w:top w:val="nil"/>
              <w:left w:val="nil"/>
              <w:bottom w:val="nil"/>
              <w:right w:val="nil"/>
            </w:tcBorders>
          </w:tcPr>
          <w:p w14:paraId="0732655C" w14:textId="77777777" w:rsidR="0021256C" w:rsidRDefault="00B73E15">
            <w:pPr>
              <w:spacing w:after="530" w:line="259" w:lineRule="auto"/>
              <w:ind w:left="0" w:firstLine="0"/>
              <w:jc w:val="left"/>
            </w:pPr>
            <w:r>
              <w:t xml:space="preserve"> </w:t>
            </w:r>
          </w:p>
          <w:p w14:paraId="33672548" w14:textId="77777777" w:rsidR="0021256C" w:rsidRDefault="00B73E15">
            <w:pPr>
              <w:spacing w:after="0" w:line="259" w:lineRule="auto"/>
              <w:ind w:left="0" w:firstLine="0"/>
              <w:jc w:val="left"/>
            </w:pPr>
            <w:r>
              <w:t xml:space="preserve"> </w:t>
            </w:r>
          </w:p>
        </w:tc>
        <w:tc>
          <w:tcPr>
            <w:tcW w:w="9825" w:type="dxa"/>
            <w:tcBorders>
              <w:top w:val="nil"/>
              <w:left w:val="nil"/>
              <w:bottom w:val="nil"/>
              <w:right w:val="nil"/>
            </w:tcBorders>
            <w:vAlign w:val="center"/>
          </w:tcPr>
          <w:p w14:paraId="170E1C9A" w14:textId="77777777" w:rsidR="0021256C" w:rsidRDefault="00B73E15">
            <w:pPr>
              <w:spacing w:after="0" w:line="259" w:lineRule="auto"/>
              <w:ind w:left="0" w:firstLine="0"/>
            </w:pPr>
            <w:r>
              <w:rPr>
                <w:i/>
                <w:color w:val="001F5F"/>
              </w:rPr>
              <w:t xml:space="preserve">Hint: This question is important in helping you prepare for certain parts of Assessment 1 (Executive summary) </w:t>
            </w:r>
          </w:p>
        </w:tc>
      </w:tr>
      <w:tr w:rsidR="0021256C" w14:paraId="6FC83715" w14:textId="77777777">
        <w:trPr>
          <w:trHeight w:val="1930"/>
        </w:trPr>
        <w:tc>
          <w:tcPr>
            <w:tcW w:w="708" w:type="dxa"/>
            <w:tcBorders>
              <w:top w:val="nil"/>
              <w:left w:val="nil"/>
              <w:bottom w:val="nil"/>
              <w:right w:val="nil"/>
            </w:tcBorders>
          </w:tcPr>
          <w:p w14:paraId="338F47FE" w14:textId="77777777" w:rsidR="0021256C" w:rsidRDefault="00B73E15">
            <w:pPr>
              <w:spacing w:after="530" w:line="259" w:lineRule="auto"/>
              <w:ind w:left="0" w:firstLine="0"/>
              <w:jc w:val="left"/>
            </w:pPr>
            <w:r>
              <w:t xml:space="preserve">Q2:  </w:t>
            </w:r>
          </w:p>
          <w:p w14:paraId="1AC9A92A" w14:textId="77777777" w:rsidR="0021256C" w:rsidRDefault="00B73E15">
            <w:pPr>
              <w:spacing w:after="530" w:line="259" w:lineRule="auto"/>
              <w:ind w:left="0" w:firstLine="0"/>
              <w:jc w:val="left"/>
            </w:pPr>
            <w:r>
              <w:t xml:space="preserve"> </w:t>
            </w:r>
          </w:p>
          <w:p w14:paraId="456B6FD6" w14:textId="77777777" w:rsidR="0021256C" w:rsidRDefault="00B73E15">
            <w:pPr>
              <w:spacing w:after="0" w:line="259" w:lineRule="auto"/>
              <w:ind w:left="79" w:firstLine="0"/>
              <w:jc w:val="center"/>
            </w:pPr>
            <w:r>
              <w:t xml:space="preserve"> </w:t>
            </w:r>
          </w:p>
        </w:tc>
        <w:tc>
          <w:tcPr>
            <w:tcW w:w="9825" w:type="dxa"/>
            <w:tcBorders>
              <w:top w:val="nil"/>
              <w:left w:val="nil"/>
              <w:bottom w:val="nil"/>
              <w:right w:val="nil"/>
            </w:tcBorders>
          </w:tcPr>
          <w:p w14:paraId="45AE3015" w14:textId="77777777" w:rsidR="0021256C" w:rsidRDefault="00B73E15">
            <w:pPr>
              <w:spacing w:after="274" w:line="240" w:lineRule="auto"/>
              <w:ind w:left="0" w:right="68" w:firstLine="0"/>
            </w:pPr>
            <w:r>
              <w:t>Access APES 110</w:t>
            </w:r>
            <w:hyperlink r:id="rId7">
              <w:r>
                <w:t xml:space="preserve"> </w:t>
              </w:r>
            </w:hyperlink>
            <w:hyperlink r:id="rId8">
              <w:r>
                <w:rPr>
                  <w:u w:val="single" w:color="000000"/>
                </w:rPr>
                <w:t>Code of Ethics for Professional Accountants</w:t>
              </w:r>
            </w:hyperlink>
            <w:hyperlink r:id="rId9">
              <w:r>
                <w:t xml:space="preserve"> </w:t>
              </w:r>
            </w:hyperlink>
            <w:r>
              <w:t xml:space="preserve">and make sure you understand the five fundamental principles. For each of the five principles, think of a scenario which may potentially create threats to compliance with the principle. </w:t>
            </w:r>
          </w:p>
          <w:p w14:paraId="467774CA" w14:textId="77777777" w:rsidR="0021256C" w:rsidRDefault="00B73E15">
            <w:pPr>
              <w:spacing w:after="0" w:line="259" w:lineRule="auto"/>
              <w:ind w:left="0" w:firstLine="0"/>
            </w:pPr>
            <w:r>
              <w:rPr>
                <w:i/>
                <w:color w:val="001F5F"/>
              </w:rPr>
              <w:t xml:space="preserve">Reflection tip: Which objectivity out of the five is the most important to you (even if you are not in the accounting profession, these objectivities are important in other disciplines too) </w:t>
            </w:r>
          </w:p>
        </w:tc>
      </w:tr>
      <w:tr w:rsidR="0021256C" w14:paraId="774B52F0" w14:textId="77777777">
        <w:trPr>
          <w:trHeight w:val="316"/>
        </w:trPr>
        <w:tc>
          <w:tcPr>
            <w:tcW w:w="708" w:type="dxa"/>
            <w:tcBorders>
              <w:top w:val="nil"/>
              <w:left w:val="nil"/>
              <w:bottom w:val="nil"/>
              <w:right w:val="nil"/>
            </w:tcBorders>
          </w:tcPr>
          <w:p w14:paraId="6EF60854" w14:textId="77777777" w:rsidR="0021256C" w:rsidRDefault="00B73E15">
            <w:pPr>
              <w:spacing w:after="0" w:line="259" w:lineRule="auto"/>
              <w:ind w:left="0" w:firstLine="0"/>
              <w:jc w:val="left"/>
            </w:pPr>
            <w:r>
              <w:t>Q3:</w:t>
            </w:r>
            <w:r>
              <w:rPr>
                <w:b/>
              </w:rPr>
              <w:t xml:space="preserve"> </w:t>
            </w:r>
          </w:p>
        </w:tc>
        <w:tc>
          <w:tcPr>
            <w:tcW w:w="9825" w:type="dxa"/>
            <w:tcBorders>
              <w:top w:val="nil"/>
              <w:left w:val="nil"/>
              <w:bottom w:val="nil"/>
              <w:right w:val="nil"/>
            </w:tcBorders>
          </w:tcPr>
          <w:p w14:paraId="6FAA6756" w14:textId="77777777" w:rsidR="0021256C" w:rsidRDefault="00B73E15">
            <w:pPr>
              <w:spacing w:after="0" w:line="259" w:lineRule="auto"/>
              <w:ind w:left="0" w:firstLine="0"/>
            </w:pPr>
            <w:r>
              <w:rPr>
                <w:b/>
              </w:rPr>
              <w:t>View Supplementary videos</w:t>
            </w:r>
            <w:r>
              <w:t xml:space="preserve"> – Please </w:t>
            </w:r>
            <w:proofErr w:type="spellStart"/>
            <w:r>
              <w:t>summarise</w:t>
            </w:r>
            <w:proofErr w:type="spellEnd"/>
            <w:r>
              <w:t xml:space="preserve"> one to two key</w:t>
            </w:r>
            <w:r>
              <w:t xml:space="preserve"> points on the following </w:t>
            </w:r>
          </w:p>
        </w:tc>
      </w:tr>
    </w:tbl>
    <w:p w14:paraId="1FB9B567" w14:textId="77777777" w:rsidR="0021256C" w:rsidRDefault="00B73E15">
      <w:pPr>
        <w:numPr>
          <w:ilvl w:val="0"/>
          <w:numId w:val="2"/>
        </w:numPr>
        <w:spacing w:line="3120" w:lineRule="auto"/>
        <w:ind w:firstLine="732"/>
      </w:pPr>
      <w:r>
        <w:t xml:space="preserve">Are there penalties for breaching the codes? three videos: </w:t>
      </w:r>
    </w:p>
    <w:p w14:paraId="3270FFC5" w14:textId="77777777" w:rsidR="0021256C" w:rsidRDefault="00B73E15">
      <w:pPr>
        <w:numPr>
          <w:ilvl w:val="0"/>
          <w:numId w:val="3"/>
        </w:numPr>
        <w:ind w:hanging="360"/>
      </w:pPr>
      <w:r>
        <w:t xml:space="preserve">SABC Digital News | Accounting and Auditing professional bodies to help fight corruption  </w:t>
      </w:r>
    </w:p>
    <w:p w14:paraId="3410E9C1" w14:textId="77777777" w:rsidR="0021256C" w:rsidRDefault="00B73E15">
      <w:pPr>
        <w:numPr>
          <w:ilvl w:val="0"/>
          <w:numId w:val="3"/>
        </w:numPr>
        <w:ind w:hanging="360"/>
      </w:pPr>
      <w:r>
        <w:t>Association for Project Management | Professional Bodies, what role do they pl</w:t>
      </w:r>
      <w:r>
        <w:t xml:space="preserve">ay in building and maintaining world class competence?  </w:t>
      </w:r>
    </w:p>
    <w:p w14:paraId="07E46C01" w14:textId="77777777" w:rsidR="0021256C" w:rsidRDefault="00B73E15">
      <w:pPr>
        <w:numPr>
          <w:ilvl w:val="0"/>
          <w:numId w:val="3"/>
        </w:numPr>
        <w:ind w:hanging="360"/>
      </w:pPr>
      <w:r>
        <w:t xml:space="preserve">Niobe Elliott | Professional Bodies ICT  </w:t>
      </w:r>
    </w:p>
    <w:p w14:paraId="61102280" w14:textId="77777777" w:rsidR="0021256C" w:rsidRDefault="00B73E15">
      <w:pPr>
        <w:spacing w:after="0" w:line="259" w:lineRule="auto"/>
        <w:ind w:left="1080" w:firstLine="0"/>
        <w:jc w:val="left"/>
      </w:pPr>
      <w:r>
        <w:t xml:space="preserve"> </w:t>
      </w:r>
    </w:p>
    <w:p w14:paraId="430874EC" w14:textId="77777777" w:rsidR="0021256C" w:rsidRDefault="00B73E15">
      <w:pPr>
        <w:spacing w:after="2" w:line="240" w:lineRule="auto"/>
        <w:ind w:left="730" w:right="-12"/>
      </w:pPr>
      <w:r>
        <w:rPr>
          <w:i/>
          <w:color w:val="1F4E79"/>
        </w:rPr>
        <w:t xml:space="preserve">Reflection tip: How have you started to think about ethical issues facing your career after watching the videos? what issues may relate to your chosen career and how can we address them?  </w:t>
      </w:r>
    </w:p>
    <w:p w14:paraId="367A5535" w14:textId="77777777" w:rsidR="0021256C" w:rsidRDefault="00B73E15">
      <w:pPr>
        <w:spacing w:after="0" w:line="259" w:lineRule="auto"/>
        <w:ind w:left="1080" w:firstLine="0"/>
        <w:jc w:val="left"/>
      </w:pPr>
      <w:r>
        <w:t xml:space="preserve"> </w:t>
      </w:r>
    </w:p>
    <w:p w14:paraId="0E239312" w14:textId="77777777" w:rsidR="0021256C" w:rsidRDefault="00B73E15">
      <w:pPr>
        <w:spacing w:after="0" w:line="259" w:lineRule="auto"/>
        <w:ind w:left="-5"/>
        <w:jc w:val="left"/>
      </w:pPr>
      <w:r>
        <w:t>Q4:</w:t>
      </w:r>
      <w:r>
        <w:rPr>
          <w:b/>
        </w:rPr>
        <w:t xml:space="preserve">  Videos from CNN and ABC News on Ethics</w:t>
      </w:r>
      <w:r>
        <w:t xml:space="preserve"> – </w:t>
      </w:r>
    </w:p>
    <w:p w14:paraId="05CDD197" w14:textId="77777777" w:rsidR="0021256C" w:rsidRDefault="00B73E15">
      <w:pPr>
        <w:numPr>
          <w:ilvl w:val="0"/>
          <w:numId w:val="4"/>
        </w:numPr>
        <w:ind w:hanging="360"/>
      </w:pPr>
      <w:r>
        <w:t>How to buy ethical</w:t>
      </w:r>
      <w:r>
        <w:t xml:space="preserve"> chocolate video </w:t>
      </w:r>
    </w:p>
    <w:p w14:paraId="43EE3C3C" w14:textId="77777777" w:rsidR="0021256C" w:rsidRDefault="00B73E15">
      <w:pPr>
        <w:numPr>
          <w:ilvl w:val="1"/>
          <w:numId w:val="4"/>
        </w:numPr>
        <w:ind w:hanging="360"/>
      </w:pPr>
      <w:r>
        <w:t xml:space="preserve">Should chocolate makers like Cadbury and Nestle be held accountable for the actions of their suppliers?  Is it their responsibility to ensure that their suppliers produce cocoa without using child </w:t>
      </w:r>
      <w:proofErr w:type="spellStart"/>
      <w:r>
        <w:t>labour</w:t>
      </w:r>
      <w:proofErr w:type="spellEnd"/>
      <w:r>
        <w:t xml:space="preserve"> of child slave </w:t>
      </w:r>
      <w:proofErr w:type="spellStart"/>
      <w:r>
        <w:t>labour</w:t>
      </w:r>
      <w:proofErr w:type="spellEnd"/>
      <w:r>
        <w:t xml:space="preserve">? </w:t>
      </w:r>
    </w:p>
    <w:p w14:paraId="2589B459" w14:textId="77777777" w:rsidR="0021256C" w:rsidRDefault="00B73E15">
      <w:pPr>
        <w:numPr>
          <w:ilvl w:val="1"/>
          <w:numId w:val="4"/>
        </w:numPr>
        <w:ind w:hanging="360"/>
      </w:pPr>
      <w:r>
        <w:t>If you wer</w:t>
      </w:r>
      <w:r>
        <w:t xml:space="preserve">e Nestle’s CEO, what would you do?  Buy the more expensive </w:t>
      </w:r>
      <w:proofErr w:type="spellStart"/>
      <w:r>
        <w:t>FairTrade</w:t>
      </w:r>
      <w:proofErr w:type="spellEnd"/>
      <w:r>
        <w:t xml:space="preserve"> cocoa, or continue to but the less expensive, less ethical cocoa? </w:t>
      </w:r>
    </w:p>
    <w:p w14:paraId="2ED8790C" w14:textId="77777777" w:rsidR="0021256C" w:rsidRDefault="00B73E15">
      <w:pPr>
        <w:spacing w:after="0" w:line="259" w:lineRule="auto"/>
        <w:ind w:left="1800" w:firstLine="0"/>
        <w:jc w:val="left"/>
      </w:pPr>
      <w:r>
        <w:lastRenderedPageBreak/>
        <w:t xml:space="preserve"> </w:t>
      </w:r>
    </w:p>
    <w:p w14:paraId="41A89C79" w14:textId="77777777" w:rsidR="0021256C" w:rsidRDefault="00B73E15">
      <w:pPr>
        <w:numPr>
          <w:ilvl w:val="0"/>
          <w:numId w:val="4"/>
        </w:numPr>
        <w:ind w:hanging="360"/>
      </w:pPr>
      <w:r>
        <w:t xml:space="preserve">Fire Kills Over 100 Factory Workers in Bangladesh video </w:t>
      </w:r>
    </w:p>
    <w:p w14:paraId="7C87A2FF" w14:textId="77777777" w:rsidR="0021256C" w:rsidRDefault="00B73E15">
      <w:pPr>
        <w:ind w:left="1090"/>
      </w:pPr>
      <w:r>
        <w:t xml:space="preserve">How can companies like Tommy Hilfiger and Wal-Mart emphasize </w:t>
      </w:r>
      <w:r>
        <w:t xml:space="preserve">to their employees the importance of choosing suppliers that behave ethically?  Discuss how an </w:t>
      </w:r>
      <w:proofErr w:type="spellStart"/>
      <w:r>
        <w:t>organisation’s</w:t>
      </w:r>
      <w:proofErr w:type="spellEnd"/>
      <w:r>
        <w:t xml:space="preserve"> culture can help dictate employee </w:t>
      </w:r>
      <w:proofErr w:type="spellStart"/>
      <w:r>
        <w:t>behaviour</w:t>
      </w:r>
      <w:proofErr w:type="spellEnd"/>
      <w:r>
        <w:t xml:space="preserve">. </w:t>
      </w:r>
    </w:p>
    <w:p w14:paraId="7A85170E" w14:textId="77777777" w:rsidR="0021256C" w:rsidRDefault="00B73E15">
      <w:pPr>
        <w:spacing w:after="0" w:line="259" w:lineRule="auto"/>
        <w:ind w:left="0" w:firstLine="0"/>
        <w:jc w:val="left"/>
      </w:pPr>
      <w:r>
        <w:t xml:space="preserve"> </w:t>
      </w:r>
    </w:p>
    <w:p w14:paraId="5ED26F31" w14:textId="77777777" w:rsidR="0021256C" w:rsidRDefault="00B73E15">
      <w:pPr>
        <w:spacing w:after="2" w:line="240" w:lineRule="auto"/>
        <w:ind w:left="357" w:right="-12"/>
      </w:pPr>
      <w:r>
        <w:rPr>
          <w:i/>
          <w:color w:val="1F4E79"/>
        </w:rPr>
        <w:t>Reflection tip: How have you started to think about ethical issues facing your career after watchi</w:t>
      </w:r>
      <w:r>
        <w:rPr>
          <w:i/>
          <w:color w:val="1F4E79"/>
        </w:rPr>
        <w:t xml:space="preserve">ng the videos? what issues may relate to your chosen career and how can we address them?  </w:t>
      </w:r>
    </w:p>
    <w:p w14:paraId="4A00956C" w14:textId="77777777" w:rsidR="0021256C" w:rsidRDefault="00B73E15">
      <w:pPr>
        <w:spacing w:after="0" w:line="259" w:lineRule="auto"/>
        <w:ind w:left="0" w:firstLine="0"/>
        <w:jc w:val="left"/>
      </w:pPr>
      <w:r>
        <w:t xml:space="preserve"> </w:t>
      </w:r>
    </w:p>
    <w:p w14:paraId="13713C49" w14:textId="1A7381AE" w:rsidR="0021256C" w:rsidRDefault="002C1AA5">
      <w:pPr>
        <w:pStyle w:val="Heading1"/>
        <w:ind w:left="-5"/>
      </w:pPr>
      <w:r>
        <w:t xml:space="preserve">PART </w:t>
      </w:r>
      <w:proofErr w:type="gramStart"/>
      <w:r>
        <w:t>3 :</w:t>
      </w:r>
      <w:proofErr w:type="gramEnd"/>
      <w:r>
        <w:t xml:space="preserve"> </w:t>
      </w:r>
      <w:r w:rsidR="00B73E15">
        <w:t>Reading 2: 2017 Graduate Outcome Survey National Report, Jan 2017</w:t>
      </w:r>
      <w:r w:rsidR="00B73E15">
        <w:rPr>
          <w:u w:val="none"/>
        </w:rPr>
        <w:t xml:space="preserve"> </w:t>
      </w:r>
    </w:p>
    <w:p w14:paraId="7A226D25" w14:textId="77777777" w:rsidR="0021256C" w:rsidRDefault="00B73E15">
      <w:pPr>
        <w:spacing w:after="0" w:line="259" w:lineRule="auto"/>
        <w:ind w:left="720" w:firstLine="0"/>
        <w:jc w:val="left"/>
      </w:pPr>
      <w:r>
        <w:rPr>
          <w:b/>
        </w:rPr>
        <w:t xml:space="preserve"> </w:t>
      </w:r>
    </w:p>
    <w:p w14:paraId="15C2203A" w14:textId="77777777" w:rsidR="0021256C" w:rsidRDefault="00B73E15">
      <w:pPr>
        <w:numPr>
          <w:ilvl w:val="0"/>
          <w:numId w:val="5"/>
        </w:numPr>
        <w:ind w:hanging="360"/>
      </w:pPr>
      <w:r>
        <w:t xml:space="preserve">Please refer to Table 3 (Undergraduate Employment Outcomes by study area), 2016 and 2017 (%) and provide some comments relating to your profession. </w:t>
      </w:r>
    </w:p>
    <w:p w14:paraId="535B073E" w14:textId="77777777" w:rsidR="0021256C" w:rsidRDefault="00B73E15">
      <w:pPr>
        <w:numPr>
          <w:ilvl w:val="0"/>
          <w:numId w:val="5"/>
        </w:numPr>
        <w:ind w:hanging="360"/>
      </w:pPr>
      <w:r>
        <w:t xml:space="preserve">Please refer to Table 8 (Undergraduate Employment by Occupation and study area), 2017 (%) and provide some </w:t>
      </w:r>
      <w:r>
        <w:t xml:space="preserve">comments relating to your profession. </w:t>
      </w:r>
    </w:p>
    <w:p w14:paraId="6631BBE0" w14:textId="77777777" w:rsidR="0021256C" w:rsidRDefault="00B73E15">
      <w:pPr>
        <w:numPr>
          <w:ilvl w:val="0"/>
          <w:numId w:val="5"/>
        </w:numPr>
        <w:ind w:hanging="360"/>
      </w:pPr>
      <w:r>
        <w:t xml:space="preserve">Refer to Table 2.6 Skills formation and </w:t>
      </w:r>
      <w:proofErr w:type="spellStart"/>
      <w:r>
        <w:t>utilisation</w:t>
      </w:r>
      <w:proofErr w:type="spellEnd"/>
      <w:r>
        <w:t xml:space="preserve"> – comment on Table 9 (Importance of Qualification for undergraduates’ Current Employment), 2017 (%) and provide some comments relating to your profession. </w:t>
      </w:r>
    </w:p>
    <w:p w14:paraId="1D015EDD" w14:textId="77777777" w:rsidR="0021256C" w:rsidRDefault="00B73E15">
      <w:pPr>
        <w:numPr>
          <w:ilvl w:val="0"/>
          <w:numId w:val="5"/>
        </w:numPr>
        <w:ind w:hanging="360"/>
      </w:pPr>
      <w:r>
        <w:t xml:space="preserve">Refer to </w:t>
      </w:r>
      <w:r>
        <w:t xml:space="preserve">Table 28 (Undergraduate median full-time salaries by study area), 2016 and 2017 and provide comments on salary related to your profession. </w:t>
      </w:r>
    </w:p>
    <w:p w14:paraId="58A0F9A2" w14:textId="77777777" w:rsidR="0021256C" w:rsidRDefault="00B73E15">
      <w:pPr>
        <w:spacing w:after="0" w:line="259" w:lineRule="auto"/>
        <w:ind w:left="0" w:firstLine="0"/>
        <w:jc w:val="left"/>
      </w:pPr>
      <w:r>
        <w:t xml:space="preserve"> </w:t>
      </w:r>
    </w:p>
    <w:p w14:paraId="3295A248" w14:textId="77777777" w:rsidR="0021256C" w:rsidRDefault="00B73E15">
      <w:pPr>
        <w:spacing w:after="2" w:line="240" w:lineRule="auto"/>
        <w:ind w:left="370" w:right="-13"/>
      </w:pPr>
      <w:r>
        <w:rPr>
          <w:i/>
          <w:color w:val="001F5F"/>
        </w:rPr>
        <w:t xml:space="preserve">Reflection tip: What are your thoughts about your chosen profession after reading this article and exploring the statistics? How is this information going to impact you in the workforce? </w:t>
      </w:r>
    </w:p>
    <w:p w14:paraId="317F633F" w14:textId="77777777" w:rsidR="0021256C" w:rsidRDefault="00B73E15">
      <w:pPr>
        <w:spacing w:after="0" w:line="259" w:lineRule="auto"/>
        <w:ind w:left="0" w:firstLine="0"/>
        <w:jc w:val="left"/>
      </w:pPr>
      <w:r>
        <w:rPr>
          <w:b/>
        </w:rPr>
        <w:t xml:space="preserve"> </w:t>
      </w:r>
    </w:p>
    <w:p w14:paraId="7F0F3F79" w14:textId="368BD53F" w:rsidR="0021256C" w:rsidRDefault="002C1AA5">
      <w:pPr>
        <w:pStyle w:val="Heading1"/>
        <w:ind w:left="-5"/>
      </w:pPr>
      <w:r>
        <w:t xml:space="preserve">PART </w:t>
      </w:r>
      <w:proofErr w:type="gramStart"/>
      <w:r>
        <w:t>4 :</w:t>
      </w:r>
      <w:proofErr w:type="gramEnd"/>
      <w:r>
        <w:t xml:space="preserve"> </w:t>
      </w:r>
      <w:r w:rsidR="00B73E15">
        <w:t>Vietnam Economic News (8-14 Sep)</w:t>
      </w:r>
      <w:r w:rsidR="00B73E15">
        <w:rPr>
          <w:u w:val="none"/>
        </w:rPr>
        <w:t xml:space="preserve">  </w:t>
      </w:r>
    </w:p>
    <w:p w14:paraId="07031220" w14:textId="77777777" w:rsidR="0021256C" w:rsidRDefault="00B73E15">
      <w:pPr>
        <w:spacing w:after="0" w:line="259" w:lineRule="auto"/>
        <w:ind w:left="0" w:firstLine="0"/>
        <w:jc w:val="left"/>
      </w:pPr>
      <w:r>
        <w:t xml:space="preserve"> </w:t>
      </w:r>
    </w:p>
    <w:p w14:paraId="1BDB1132" w14:textId="77777777" w:rsidR="0021256C" w:rsidRDefault="00B73E15">
      <w:pPr>
        <w:ind w:left="-5"/>
      </w:pPr>
      <w:r>
        <w:t xml:space="preserve">Please read Vietnam Economic </w:t>
      </w:r>
      <w:r>
        <w:t xml:space="preserve">News from the above dates and provide a summary (any one article and one paragraph) on any article that relates to your profession, career/employment or ethical issues. Vietnam Economic News is available from web site </w:t>
      </w:r>
      <w:hyperlink r:id="rId10">
        <w:r>
          <w:rPr>
            <w:color w:val="0000FF"/>
            <w:u w:val="single" w:color="0000FF"/>
          </w:rPr>
          <w:t>http</w:t>
        </w:r>
        <w:r>
          <w:rPr>
            <w:color w:val="0000FF"/>
            <w:u w:val="single" w:color="0000FF"/>
          </w:rPr>
          <w:t>://ven.vn/</w:t>
        </w:r>
      </w:hyperlink>
      <w:hyperlink r:id="rId11">
        <w:r>
          <w:t xml:space="preserve"> </w:t>
        </w:r>
      </w:hyperlink>
      <w:r>
        <w:t xml:space="preserve"> </w:t>
      </w:r>
    </w:p>
    <w:p w14:paraId="3E2F6E27" w14:textId="77777777" w:rsidR="0021256C" w:rsidRDefault="00B73E15">
      <w:pPr>
        <w:spacing w:after="0" w:line="259" w:lineRule="auto"/>
        <w:ind w:left="720" w:firstLine="0"/>
        <w:jc w:val="left"/>
      </w:pPr>
      <w:r>
        <w:rPr>
          <w:i/>
          <w:color w:val="001F5F"/>
        </w:rPr>
        <w:t xml:space="preserve">  </w:t>
      </w:r>
    </w:p>
    <w:p w14:paraId="3CA1907B" w14:textId="77777777" w:rsidR="0021256C" w:rsidRDefault="00B73E15">
      <w:pPr>
        <w:spacing w:after="2" w:line="240" w:lineRule="auto"/>
        <w:ind w:left="715" w:right="-13"/>
      </w:pPr>
      <w:r>
        <w:rPr>
          <w:i/>
          <w:color w:val="001F5F"/>
        </w:rPr>
        <w:t>Reflection tip: What is the VEN reading about and how does the information presented impact your thinking?</w:t>
      </w:r>
      <w:r>
        <w:rPr>
          <w:rFonts w:ascii="Calibri" w:eastAsia="Calibri" w:hAnsi="Calibri" w:cs="Calibri"/>
          <w:i/>
          <w:sz w:val="22"/>
        </w:rPr>
        <w:t xml:space="preserve"> </w:t>
      </w:r>
      <w:r>
        <w:rPr>
          <w:i/>
          <w:color w:val="001F5F"/>
        </w:rPr>
        <w:t xml:space="preserve">How does your article relate to this week’s topic? what are the positive aspects and how would you </w:t>
      </w:r>
      <w:r>
        <w:rPr>
          <w:i/>
          <w:color w:val="001F5F"/>
        </w:rPr>
        <w:t xml:space="preserve">apply that in the future? and/or what are the negative aspects and how would you avoid them? </w:t>
      </w:r>
    </w:p>
    <w:p w14:paraId="1D308F02" w14:textId="77777777" w:rsidR="0021256C" w:rsidRDefault="00B73E15">
      <w:pPr>
        <w:spacing w:after="0" w:line="242" w:lineRule="auto"/>
        <w:ind w:left="0" w:right="7524" w:firstLine="0"/>
        <w:jc w:val="left"/>
      </w:pPr>
      <w:r>
        <w:rPr>
          <w:color w:val="0000FF"/>
        </w:rPr>
        <w:t xml:space="preserve">  </w:t>
      </w:r>
      <w:r>
        <w:rPr>
          <w:color w:val="0000FF"/>
        </w:rPr>
        <w:tab/>
        <w:t xml:space="preserve"> </w:t>
      </w:r>
    </w:p>
    <w:p w14:paraId="6AEB0EC6" w14:textId="77777777" w:rsidR="0021256C" w:rsidRDefault="00B73E15">
      <w:pPr>
        <w:spacing w:after="0" w:line="259" w:lineRule="auto"/>
        <w:ind w:left="0" w:firstLine="0"/>
        <w:jc w:val="left"/>
      </w:pPr>
      <w:r>
        <w:rPr>
          <w:color w:val="0000FF"/>
        </w:rPr>
        <w:t xml:space="preserve"> </w:t>
      </w:r>
    </w:p>
    <w:p w14:paraId="56A2B3F8" w14:textId="77777777" w:rsidR="0021256C" w:rsidRDefault="00B73E15">
      <w:pPr>
        <w:spacing w:after="0" w:line="259" w:lineRule="auto"/>
        <w:ind w:left="-5"/>
        <w:jc w:val="left"/>
      </w:pPr>
      <w:r>
        <w:rPr>
          <w:b/>
        </w:rPr>
        <w:t xml:space="preserve">Portfolio Reflection Guidelines: </w:t>
      </w:r>
    </w:p>
    <w:p w14:paraId="3ADF1C9E" w14:textId="77777777" w:rsidR="0021256C" w:rsidRDefault="00B73E15">
      <w:pPr>
        <w:spacing w:after="65"/>
        <w:ind w:left="-5" w:right="403"/>
      </w:pPr>
      <w:r>
        <w:t xml:space="preserve">Provide a 100 to 150 words of reflection on your learning from the homework questions. You may reflect on the question(s) you particularly engaged with and your work experiences. Please use the following as guidelines. </w:t>
      </w:r>
    </w:p>
    <w:p w14:paraId="1C59A5FA" w14:textId="77777777" w:rsidR="0021256C" w:rsidRDefault="00B73E15">
      <w:pPr>
        <w:spacing w:after="0" w:line="259" w:lineRule="auto"/>
        <w:ind w:left="0" w:firstLine="0"/>
        <w:jc w:val="left"/>
      </w:pPr>
      <w:r>
        <w:rPr>
          <w:rFonts w:ascii="Calibri" w:eastAsia="Calibri" w:hAnsi="Calibri" w:cs="Calibri"/>
          <w:sz w:val="19"/>
        </w:rPr>
        <w:t xml:space="preserve"> </w:t>
      </w:r>
    </w:p>
    <w:tbl>
      <w:tblPr>
        <w:tblStyle w:val="TableGrid"/>
        <w:tblW w:w="9468" w:type="dxa"/>
        <w:tblInd w:w="108" w:type="dxa"/>
        <w:tblCellMar>
          <w:top w:w="55" w:type="dxa"/>
          <w:left w:w="0" w:type="dxa"/>
          <w:bottom w:w="0" w:type="dxa"/>
          <w:right w:w="115" w:type="dxa"/>
        </w:tblCellMar>
        <w:tblLook w:val="04A0" w:firstRow="1" w:lastRow="0" w:firstColumn="1" w:lastColumn="0" w:noHBand="0" w:noVBand="1"/>
      </w:tblPr>
      <w:tblGrid>
        <w:gridCol w:w="3031"/>
        <w:gridCol w:w="6437"/>
      </w:tblGrid>
      <w:tr w:rsidR="0021256C" w14:paraId="4778EFE7" w14:textId="77777777">
        <w:trPr>
          <w:trHeight w:val="559"/>
        </w:trPr>
        <w:tc>
          <w:tcPr>
            <w:tcW w:w="3031" w:type="dxa"/>
            <w:tcBorders>
              <w:top w:val="single" w:sz="4" w:space="0" w:color="7F7F7F"/>
              <w:left w:val="nil"/>
              <w:bottom w:val="single" w:sz="4" w:space="0" w:color="7F7F7F"/>
              <w:right w:val="nil"/>
            </w:tcBorders>
            <w:shd w:val="clear" w:color="auto" w:fill="F2F2F2"/>
          </w:tcPr>
          <w:p w14:paraId="364133B9" w14:textId="77777777" w:rsidR="0021256C" w:rsidRDefault="00B73E15">
            <w:pPr>
              <w:spacing w:after="0" w:line="259" w:lineRule="auto"/>
              <w:ind w:left="108" w:firstLine="0"/>
              <w:jc w:val="left"/>
            </w:pPr>
            <w:r>
              <w:rPr>
                <w:rFonts w:ascii="Calibri" w:eastAsia="Calibri" w:hAnsi="Calibri" w:cs="Calibri"/>
                <w:b/>
                <w:sz w:val="18"/>
              </w:rPr>
              <w:t>Reflection GUIDELINES must be used</w:t>
            </w:r>
            <w:r>
              <w:rPr>
                <w:rFonts w:ascii="Calibri" w:eastAsia="Calibri" w:hAnsi="Calibri" w:cs="Calibri"/>
                <w:b/>
                <w:sz w:val="18"/>
              </w:rPr>
              <w:t xml:space="preserve"> </w:t>
            </w:r>
          </w:p>
        </w:tc>
        <w:tc>
          <w:tcPr>
            <w:tcW w:w="6437" w:type="dxa"/>
            <w:tcBorders>
              <w:top w:val="single" w:sz="4" w:space="0" w:color="7F7F7F"/>
              <w:left w:val="nil"/>
              <w:bottom w:val="single" w:sz="4" w:space="0" w:color="7F7F7F"/>
              <w:right w:val="nil"/>
            </w:tcBorders>
            <w:shd w:val="clear" w:color="auto" w:fill="F2F2F2"/>
          </w:tcPr>
          <w:p w14:paraId="7E6A1A1E" w14:textId="77777777" w:rsidR="0021256C" w:rsidRDefault="00B73E15">
            <w:pPr>
              <w:spacing w:after="0" w:line="259" w:lineRule="auto"/>
              <w:ind w:left="0" w:firstLine="0"/>
              <w:jc w:val="left"/>
            </w:pPr>
            <w:r>
              <w:rPr>
                <w:rFonts w:ascii="Calibri" w:eastAsia="Calibri" w:hAnsi="Calibri" w:cs="Calibri"/>
                <w:b/>
                <w:sz w:val="18"/>
              </w:rPr>
              <w:t xml:space="preserve">Possible questions you could use to meet these guidelines </w:t>
            </w:r>
          </w:p>
        </w:tc>
      </w:tr>
      <w:tr w:rsidR="0021256C" w14:paraId="61D5A7C1" w14:textId="77777777">
        <w:trPr>
          <w:trHeight w:val="611"/>
        </w:trPr>
        <w:tc>
          <w:tcPr>
            <w:tcW w:w="3031" w:type="dxa"/>
            <w:tcBorders>
              <w:top w:val="single" w:sz="4" w:space="0" w:color="7F7F7F"/>
              <w:left w:val="nil"/>
              <w:bottom w:val="single" w:sz="4" w:space="0" w:color="7F7F7F"/>
              <w:right w:val="nil"/>
            </w:tcBorders>
          </w:tcPr>
          <w:p w14:paraId="05984644" w14:textId="77777777" w:rsidR="0021256C" w:rsidRDefault="00B73E15">
            <w:pPr>
              <w:spacing w:after="0" w:line="259" w:lineRule="auto"/>
              <w:ind w:left="108" w:firstLine="0"/>
              <w:jc w:val="left"/>
            </w:pPr>
            <w:r>
              <w:rPr>
                <w:rFonts w:ascii="Calibri" w:eastAsia="Calibri" w:hAnsi="Calibri" w:cs="Calibri"/>
                <w:sz w:val="20"/>
              </w:rPr>
              <w:t xml:space="preserve">Evaluate Significance </w:t>
            </w:r>
          </w:p>
        </w:tc>
        <w:tc>
          <w:tcPr>
            <w:tcW w:w="6437" w:type="dxa"/>
            <w:tcBorders>
              <w:top w:val="single" w:sz="4" w:space="0" w:color="7F7F7F"/>
              <w:left w:val="nil"/>
              <w:bottom w:val="single" w:sz="4" w:space="0" w:color="7F7F7F"/>
              <w:right w:val="nil"/>
            </w:tcBorders>
          </w:tcPr>
          <w:p w14:paraId="3DCC4DE9" w14:textId="77777777" w:rsidR="0021256C" w:rsidRDefault="00B73E15">
            <w:pPr>
              <w:spacing w:after="0" w:line="259" w:lineRule="auto"/>
              <w:ind w:left="0" w:firstLine="0"/>
              <w:jc w:val="left"/>
            </w:pPr>
            <w:r>
              <w:rPr>
                <w:rFonts w:ascii="Calibri" w:eastAsia="Calibri" w:hAnsi="Calibri" w:cs="Calibri"/>
                <w:sz w:val="20"/>
              </w:rPr>
              <w:t xml:space="preserve">What is the relative value of the overall learning experience from the resources and portfolio questions for this week?  </w:t>
            </w:r>
          </w:p>
        </w:tc>
      </w:tr>
      <w:tr w:rsidR="0021256C" w14:paraId="7C23F437" w14:textId="77777777">
        <w:trPr>
          <w:trHeight w:val="610"/>
        </w:trPr>
        <w:tc>
          <w:tcPr>
            <w:tcW w:w="3031" w:type="dxa"/>
            <w:tcBorders>
              <w:top w:val="single" w:sz="4" w:space="0" w:color="7F7F7F"/>
              <w:left w:val="nil"/>
              <w:bottom w:val="single" w:sz="4" w:space="0" w:color="7F7F7F"/>
              <w:right w:val="nil"/>
            </w:tcBorders>
          </w:tcPr>
          <w:p w14:paraId="5C917539" w14:textId="77777777" w:rsidR="0021256C" w:rsidRDefault="00B73E15">
            <w:pPr>
              <w:spacing w:after="0" w:line="259" w:lineRule="auto"/>
              <w:ind w:left="108" w:firstLine="0"/>
              <w:jc w:val="left"/>
            </w:pPr>
            <w:r>
              <w:rPr>
                <w:rFonts w:ascii="Calibri" w:eastAsia="Calibri" w:hAnsi="Calibri" w:cs="Calibri"/>
                <w:sz w:val="20"/>
              </w:rPr>
              <w:t xml:space="preserve">Reconstruct the experience </w:t>
            </w:r>
          </w:p>
        </w:tc>
        <w:tc>
          <w:tcPr>
            <w:tcW w:w="6437" w:type="dxa"/>
            <w:tcBorders>
              <w:top w:val="single" w:sz="4" w:space="0" w:color="7F7F7F"/>
              <w:left w:val="nil"/>
              <w:bottom w:val="single" w:sz="4" w:space="0" w:color="7F7F7F"/>
              <w:right w:val="nil"/>
            </w:tcBorders>
          </w:tcPr>
          <w:p w14:paraId="534AEAF1" w14:textId="77777777" w:rsidR="0021256C" w:rsidRDefault="00B73E15">
            <w:pPr>
              <w:spacing w:after="0" w:line="259" w:lineRule="auto"/>
              <w:ind w:left="0" w:firstLine="0"/>
              <w:jc w:val="left"/>
            </w:pPr>
            <w:r>
              <w:rPr>
                <w:rFonts w:ascii="Calibri" w:eastAsia="Calibri" w:hAnsi="Calibri" w:cs="Calibri"/>
                <w:sz w:val="20"/>
              </w:rPr>
              <w:t xml:space="preserve">What are the most salient points of what you experienced when learning from the resources for this week? </w:t>
            </w:r>
          </w:p>
        </w:tc>
      </w:tr>
      <w:tr w:rsidR="0021256C" w14:paraId="37947C6F" w14:textId="77777777">
        <w:trPr>
          <w:trHeight w:val="610"/>
        </w:trPr>
        <w:tc>
          <w:tcPr>
            <w:tcW w:w="3031" w:type="dxa"/>
            <w:tcBorders>
              <w:top w:val="single" w:sz="4" w:space="0" w:color="7F7F7F"/>
              <w:left w:val="nil"/>
              <w:bottom w:val="single" w:sz="4" w:space="0" w:color="7F7F7F"/>
              <w:right w:val="nil"/>
            </w:tcBorders>
          </w:tcPr>
          <w:p w14:paraId="0A5CEBED" w14:textId="77777777" w:rsidR="0021256C" w:rsidRDefault="00B73E15">
            <w:pPr>
              <w:spacing w:after="0" w:line="259" w:lineRule="auto"/>
              <w:ind w:left="108" w:firstLine="0"/>
              <w:jc w:val="left"/>
            </w:pPr>
            <w:r>
              <w:rPr>
                <w:rFonts w:ascii="Calibri" w:eastAsia="Calibri" w:hAnsi="Calibri" w:cs="Calibri"/>
                <w:sz w:val="20"/>
              </w:rPr>
              <w:lastRenderedPageBreak/>
              <w:t xml:space="preserve">Analysis: Why did it happen that way? </w:t>
            </w:r>
          </w:p>
        </w:tc>
        <w:tc>
          <w:tcPr>
            <w:tcW w:w="6437" w:type="dxa"/>
            <w:tcBorders>
              <w:top w:val="single" w:sz="4" w:space="0" w:color="7F7F7F"/>
              <w:left w:val="nil"/>
              <w:bottom w:val="single" w:sz="4" w:space="0" w:color="7F7F7F"/>
              <w:right w:val="nil"/>
            </w:tcBorders>
          </w:tcPr>
          <w:p w14:paraId="29D3A603" w14:textId="77777777" w:rsidR="0021256C" w:rsidRDefault="00B73E15">
            <w:pPr>
              <w:spacing w:after="0" w:line="259" w:lineRule="auto"/>
              <w:ind w:left="0" w:firstLine="0"/>
              <w:jc w:val="left"/>
            </w:pPr>
            <w:r>
              <w:rPr>
                <w:rFonts w:ascii="Calibri" w:eastAsia="Calibri" w:hAnsi="Calibri" w:cs="Calibri"/>
                <w:sz w:val="20"/>
              </w:rPr>
              <w:t>What interpretations, explanations help you to make sense of the learning experien</w:t>
            </w:r>
            <w:r>
              <w:rPr>
                <w:rFonts w:ascii="Calibri" w:eastAsia="Calibri" w:hAnsi="Calibri" w:cs="Calibri"/>
                <w:sz w:val="20"/>
              </w:rPr>
              <w:t xml:space="preserve">ce? </w:t>
            </w:r>
          </w:p>
        </w:tc>
      </w:tr>
      <w:tr w:rsidR="0021256C" w14:paraId="20F4AFBA" w14:textId="77777777">
        <w:trPr>
          <w:trHeight w:val="610"/>
        </w:trPr>
        <w:tc>
          <w:tcPr>
            <w:tcW w:w="3031" w:type="dxa"/>
            <w:tcBorders>
              <w:top w:val="single" w:sz="4" w:space="0" w:color="7F7F7F"/>
              <w:left w:val="nil"/>
              <w:bottom w:val="single" w:sz="4" w:space="0" w:color="7F7F7F"/>
              <w:right w:val="nil"/>
            </w:tcBorders>
          </w:tcPr>
          <w:p w14:paraId="567682C4" w14:textId="77777777" w:rsidR="0021256C" w:rsidRDefault="00B73E15">
            <w:pPr>
              <w:spacing w:after="0" w:line="259" w:lineRule="auto"/>
              <w:ind w:left="108" w:firstLine="0"/>
              <w:jc w:val="left"/>
            </w:pPr>
            <w:r>
              <w:rPr>
                <w:rFonts w:ascii="Calibri" w:eastAsia="Calibri" w:hAnsi="Calibri" w:cs="Calibri"/>
                <w:sz w:val="20"/>
              </w:rPr>
              <w:t xml:space="preserve">Distil: What lessons can be learnt? </w:t>
            </w:r>
          </w:p>
        </w:tc>
        <w:tc>
          <w:tcPr>
            <w:tcW w:w="6437" w:type="dxa"/>
            <w:tcBorders>
              <w:top w:val="single" w:sz="4" w:space="0" w:color="7F7F7F"/>
              <w:left w:val="nil"/>
              <w:bottom w:val="single" w:sz="4" w:space="0" w:color="7F7F7F"/>
              <w:right w:val="nil"/>
            </w:tcBorders>
          </w:tcPr>
          <w:p w14:paraId="1B838E3E" w14:textId="77777777" w:rsidR="0021256C" w:rsidRDefault="00B73E15">
            <w:pPr>
              <w:spacing w:after="0" w:line="259" w:lineRule="auto"/>
              <w:ind w:left="0" w:firstLine="0"/>
              <w:jc w:val="left"/>
            </w:pPr>
            <w:r>
              <w:rPr>
                <w:rFonts w:ascii="Calibri" w:eastAsia="Calibri" w:hAnsi="Calibri" w:cs="Calibri"/>
                <w:sz w:val="20"/>
              </w:rPr>
              <w:t xml:space="preserve">What positive aspects from learning resources are worth using in the future? </w:t>
            </w:r>
          </w:p>
        </w:tc>
      </w:tr>
      <w:tr w:rsidR="0021256C" w14:paraId="4EE00AA0" w14:textId="77777777">
        <w:trPr>
          <w:trHeight w:val="852"/>
        </w:trPr>
        <w:tc>
          <w:tcPr>
            <w:tcW w:w="3031" w:type="dxa"/>
            <w:tcBorders>
              <w:top w:val="single" w:sz="4" w:space="0" w:color="7F7F7F"/>
              <w:left w:val="nil"/>
              <w:bottom w:val="single" w:sz="4" w:space="0" w:color="7F7F7F"/>
              <w:right w:val="nil"/>
            </w:tcBorders>
          </w:tcPr>
          <w:p w14:paraId="660625D2" w14:textId="77777777" w:rsidR="0021256C" w:rsidRDefault="00B73E15">
            <w:pPr>
              <w:spacing w:after="0" w:line="259" w:lineRule="auto"/>
              <w:ind w:left="108" w:firstLine="0"/>
              <w:jc w:val="left"/>
            </w:pPr>
            <w:r>
              <w:rPr>
                <w:rFonts w:ascii="Calibri" w:eastAsia="Calibri" w:hAnsi="Calibri" w:cs="Calibri"/>
                <w:sz w:val="20"/>
              </w:rPr>
              <w:t xml:space="preserve">Apply: Prepare for future situations </w:t>
            </w:r>
          </w:p>
        </w:tc>
        <w:tc>
          <w:tcPr>
            <w:tcW w:w="6437" w:type="dxa"/>
            <w:tcBorders>
              <w:top w:val="single" w:sz="4" w:space="0" w:color="7F7F7F"/>
              <w:left w:val="nil"/>
              <w:bottom w:val="single" w:sz="4" w:space="0" w:color="7F7F7F"/>
              <w:right w:val="nil"/>
            </w:tcBorders>
          </w:tcPr>
          <w:p w14:paraId="14E5CC6C" w14:textId="77777777" w:rsidR="0021256C" w:rsidRDefault="00B73E15">
            <w:pPr>
              <w:spacing w:after="0" w:line="259" w:lineRule="auto"/>
              <w:ind w:left="0" w:firstLine="0"/>
              <w:jc w:val="left"/>
            </w:pPr>
            <w:r>
              <w:rPr>
                <w:rFonts w:ascii="Calibri" w:eastAsia="Calibri" w:hAnsi="Calibri" w:cs="Calibri"/>
                <w:sz w:val="20"/>
              </w:rPr>
              <w:t xml:space="preserve">What will you change as a result of learning experience from this week? What preparation do you need now to respond to situations in the future? </w:t>
            </w:r>
          </w:p>
        </w:tc>
      </w:tr>
    </w:tbl>
    <w:p w14:paraId="0404693B" w14:textId="77777777" w:rsidR="0021256C" w:rsidRDefault="00B73E15">
      <w:pPr>
        <w:spacing w:after="130" w:line="259" w:lineRule="auto"/>
        <w:ind w:left="0" w:firstLine="0"/>
        <w:jc w:val="left"/>
      </w:pPr>
      <w:r>
        <w:rPr>
          <w:rFonts w:ascii="Calibri" w:eastAsia="Calibri" w:hAnsi="Calibri" w:cs="Calibri"/>
          <w:sz w:val="18"/>
        </w:rPr>
        <w:t xml:space="preserve">(Cottrell 2015: 236-237).  </w:t>
      </w:r>
    </w:p>
    <w:p w14:paraId="3845AC63" w14:textId="77777777" w:rsidR="0021256C" w:rsidRDefault="00B73E15">
      <w:pPr>
        <w:spacing w:after="0" w:line="259" w:lineRule="auto"/>
        <w:ind w:left="0" w:firstLine="0"/>
        <w:jc w:val="left"/>
      </w:pPr>
      <w:r>
        <w:rPr>
          <w:sz w:val="22"/>
        </w:rPr>
        <w:t xml:space="preserve"> </w:t>
      </w:r>
    </w:p>
    <w:p w14:paraId="63F33565" w14:textId="77777777" w:rsidR="0021256C" w:rsidRDefault="00B73E15">
      <w:pPr>
        <w:spacing w:after="0" w:line="259" w:lineRule="auto"/>
        <w:ind w:left="0" w:firstLine="0"/>
        <w:jc w:val="left"/>
      </w:pPr>
      <w:r>
        <w:t xml:space="preserve"> </w:t>
      </w:r>
    </w:p>
    <w:sectPr w:rsidR="0021256C">
      <w:footerReference w:type="even" r:id="rId12"/>
      <w:footerReference w:type="default" r:id="rId13"/>
      <w:footerReference w:type="first" r:id="rId14"/>
      <w:pgSz w:w="11906" w:h="16838"/>
      <w:pgMar w:top="686" w:right="716" w:bottom="1391" w:left="72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6399" w14:textId="77777777" w:rsidR="00B73E15" w:rsidRDefault="00B73E15">
      <w:pPr>
        <w:spacing w:after="0" w:line="240" w:lineRule="auto"/>
      </w:pPr>
      <w:r>
        <w:separator/>
      </w:r>
    </w:p>
  </w:endnote>
  <w:endnote w:type="continuationSeparator" w:id="0">
    <w:p w14:paraId="524638BC" w14:textId="77777777" w:rsidR="00B73E15" w:rsidRDefault="00B7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451D" w14:textId="77777777" w:rsidR="0021256C" w:rsidRDefault="00B73E15">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F14D1E" w14:textId="77777777" w:rsidR="0021256C" w:rsidRDefault="00B73E1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1908" w14:textId="77777777" w:rsidR="0021256C" w:rsidRDefault="00B73E15">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36746D6" w14:textId="77777777" w:rsidR="0021256C" w:rsidRDefault="00B73E15">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8E76" w14:textId="77777777" w:rsidR="0021256C" w:rsidRDefault="00B73E15">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B1704A2" w14:textId="77777777" w:rsidR="0021256C" w:rsidRDefault="00B73E1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48F8" w14:textId="77777777" w:rsidR="00B73E15" w:rsidRDefault="00B73E15">
      <w:pPr>
        <w:spacing w:after="0" w:line="240" w:lineRule="auto"/>
      </w:pPr>
      <w:r>
        <w:separator/>
      </w:r>
    </w:p>
  </w:footnote>
  <w:footnote w:type="continuationSeparator" w:id="0">
    <w:p w14:paraId="6278F5E9" w14:textId="77777777" w:rsidR="00B73E15" w:rsidRDefault="00B73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9EE"/>
    <w:multiLevelType w:val="hybridMultilevel"/>
    <w:tmpl w:val="C8F29330"/>
    <w:lvl w:ilvl="0" w:tplc="0652C7F6">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0A1C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408F7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C005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127D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2CBC1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72705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4AB8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F61C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38583C"/>
    <w:multiLevelType w:val="hybridMultilevel"/>
    <w:tmpl w:val="5C884D76"/>
    <w:lvl w:ilvl="0" w:tplc="290889A8">
      <w:start w:val="1"/>
      <w:numFmt w:val="bullet"/>
      <w:lvlText w:val="•"/>
      <w:lvlJc w:val="left"/>
      <w:pPr>
        <w:ind w:left="705"/>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1" w:tplc="80F807B8">
      <w:start w:val="1"/>
      <w:numFmt w:val="bullet"/>
      <w:lvlText w:val="o"/>
      <w:lvlJc w:val="left"/>
      <w:pPr>
        <w:ind w:left="1440"/>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2" w:tplc="75023848">
      <w:start w:val="1"/>
      <w:numFmt w:val="bullet"/>
      <w:lvlText w:val="▪"/>
      <w:lvlJc w:val="left"/>
      <w:pPr>
        <w:ind w:left="2160"/>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3" w:tplc="936065A6">
      <w:start w:val="1"/>
      <w:numFmt w:val="bullet"/>
      <w:lvlText w:val="•"/>
      <w:lvlJc w:val="left"/>
      <w:pPr>
        <w:ind w:left="2880"/>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4" w:tplc="24EE1D4A">
      <w:start w:val="1"/>
      <w:numFmt w:val="bullet"/>
      <w:lvlText w:val="o"/>
      <w:lvlJc w:val="left"/>
      <w:pPr>
        <w:ind w:left="3600"/>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5" w:tplc="270C7E10">
      <w:start w:val="1"/>
      <w:numFmt w:val="bullet"/>
      <w:lvlText w:val="▪"/>
      <w:lvlJc w:val="left"/>
      <w:pPr>
        <w:ind w:left="4320"/>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6" w:tplc="A4D2C020">
      <w:start w:val="1"/>
      <w:numFmt w:val="bullet"/>
      <w:lvlText w:val="•"/>
      <w:lvlJc w:val="left"/>
      <w:pPr>
        <w:ind w:left="5040"/>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7" w:tplc="16EA8A5E">
      <w:start w:val="1"/>
      <w:numFmt w:val="bullet"/>
      <w:lvlText w:val="o"/>
      <w:lvlJc w:val="left"/>
      <w:pPr>
        <w:ind w:left="5760"/>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lvl w:ilvl="8" w:tplc="D21E755A">
      <w:start w:val="1"/>
      <w:numFmt w:val="bullet"/>
      <w:lvlText w:val="▪"/>
      <w:lvlJc w:val="left"/>
      <w:pPr>
        <w:ind w:left="6480"/>
      </w:pPr>
      <w:rPr>
        <w:rFonts w:ascii="Segoe UI Symbol" w:eastAsia="Segoe UI Symbol" w:hAnsi="Segoe UI Symbol" w:cs="Segoe UI Symbol"/>
        <w:b w:val="0"/>
        <w:i w:val="0"/>
        <w:strike w:val="0"/>
        <w:dstrike w:val="0"/>
        <w:color w:val="001F5F"/>
        <w:sz w:val="24"/>
        <w:szCs w:val="24"/>
        <w:u w:val="none" w:color="000000"/>
        <w:bdr w:val="none" w:sz="0" w:space="0" w:color="auto"/>
        <w:shd w:val="clear" w:color="auto" w:fill="auto"/>
        <w:vertAlign w:val="baseline"/>
      </w:rPr>
    </w:lvl>
  </w:abstractNum>
  <w:abstractNum w:abstractNumId="2" w15:restartNumberingAfterBreak="0">
    <w:nsid w:val="37FA2D81"/>
    <w:multiLevelType w:val="hybridMultilevel"/>
    <w:tmpl w:val="E9AE3E9C"/>
    <w:lvl w:ilvl="0" w:tplc="424CE93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4EF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C4B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5C5D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0D2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BC23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3A8F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CCCE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A229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AC5FE6"/>
    <w:multiLevelType w:val="hybridMultilevel"/>
    <w:tmpl w:val="9DF4021E"/>
    <w:lvl w:ilvl="0" w:tplc="982660AE">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A0AA4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52539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6E330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E0AD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7810C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2470C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A17D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94ED4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834677"/>
    <w:multiLevelType w:val="hybridMultilevel"/>
    <w:tmpl w:val="2F8C8050"/>
    <w:lvl w:ilvl="0" w:tplc="FA96046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62B2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C8BD7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E0897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8E80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1AE2D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BEC13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42AF2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7EE0C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wNDE2NjE2NLc0NzJW0lEKTi0uzszPAykwrAUABiqroywAAAA="/>
  </w:docVars>
  <w:rsids>
    <w:rsidRoot w:val="0021256C"/>
    <w:rsid w:val="00046D62"/>
    <w:rsid w:val="0021256C"/>
    <w:rsid w:val="002C1AA5"/>
    <w:rsid w:val="0041722E"/>
    <w:rsid w:val="00B7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4EED"/>
  <w15:docId w15:val="{D823821A-B44E-4D4C-A4F7-6018560D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sb.org.au/uploads/standards/apesb_standards/compiledt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pesb.org.au/uploads/standards/apesb_standards/compiledt2.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n.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en.vn/" TargetMode="External"/><Relationship Id="rId4" Type="http://schemas.openxmlformats.org/officeDocument/2006/relationships/webSettings" Target="webSettings.xml"/><Relationship Id="rId9" Type="http://schemas.openxmlformats.org/officeDocument/2006/relationships/hyperlink" Target="http://www.apesb.org.au/uploads/standards/apesb_standards/compiledt2.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Krishan Prasad;Noor Lazar</dc:creator>
  <cp:keywords/>
  <cp:lastModifiedBy>Quốc Dũng Nguyễn</cp:lastModifiedBy>
  <cp:revision>4</cp:revision>
  <dcterms:created xsi:type="dcterms:W3CDTF">2019-09-15T10:01:00Z</dcterms:created>
  <dcterms:modified xsi:type="dcterms:W3CDTF">2019-09-15T10:34:00Z</dcterms:modified>
</cp:coreProperties>
</file>